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D0" w:rsidRDefault="00314694" w:rsidP="00422205">
      <w:pPr>
        <w:ind w:left="-1800" w:firstLine="1800"/>
      </w:pPr>
      <w:r>
        <w:rPr>
          <w:noProof/>
          <w:szCs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231140</wp:posOffset>
            </wp:positionV>
            <wp:extent cx="6991350" cy="1028700"/>
            <wp:effectExtent l="25400" t="0" r="0" b="0"/>
            <wp:wrapNone/>
            <wp:docPr id="8" name="Picture 7" descr="Header for Marketing brochure 2012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for Marketing brochure 2012.a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90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459740</wp:posOffset>
                </wp:positionV>
                <wp:extent cx="6909435" cy="8867140"/>
                <wp:effectExtent l="22860" t="21590" r="20955" b="171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886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91A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8D0" w:rsidRPr="000F2BA4" w:rsidRDefault="000468D0" w:rsidP="000468D0">
                            <w:pPr>
                              <w:tabs>
                                <w:tab w:val="left" w:pos="-720"/>
                              </w:tabs>
                              <w:ind w:right="-6490"/>
                              <w:rPr>
                                <w:rFonts w:ascii="Century Gothic" w:hAnsi="Century Gothic"/>
                                <w:color w:val="00556A"/>
                                <w:sz w:val="28"/>
                              </w:rPr>
                            </w:pPr>
                            <w:r w:rsidRPr="000F2BA4">
                              <w:rPr>
                                <w:rFonts w:ascii="Century Gothic" w:hAnsi="Century Gothic"/>
                                <w:color w:val="00556A"/>
                                <w:sz w:val="28"/>
                              </w:rPr>
                              <w:t xml:space="preserve">                                   </w:t>
                            </w:r>
                          </w:p>
                          <w:p w:rsidR="000468D0" w:rsidRPr="000F2BA4" w:rsidRDefault="000468D0" w:rsidP="000468D0">
                            <w:pPr>
                              <w:tabs>
                                <w:tab w:val="left" w:pos="-720"/>
                              </w:tabs>
                              <w:ind w:right="-6490"/>
                              <w:rPr>
                                <w:rFonts w:ascii="Century Gothic" w:hAnsi="Century Gothic"/>
                                <w:color w:val="00556A"/>
                                <w:sz w:val="28"/>
                              </w:rPr>
                            </w:pPr>
                          </w:p>
                          <w:p w:rsidR="000468D0" w:rsidRPr="000F2BA4" w:rsidRDefault="000468D0" w:rsidP="000468D0">
                            <w:pPr>
                              <w:tabs>
                                <w:tab w:val="left" w:pos="-720"/>
                              </w:tabs>
                              <w:ind w:right="-6490"/>
                              <w:rPr>
                                <w:rFonts w:ascii="Century Gothic" w:hAnsi="Century Gothic"/>
                                <w:color w:val="00556A"/>
                                <w:sz w:val="28"/>
                              </w:rPr>
                            </w:pPr>
                          </w:p>
                          <w:p w:rsidR="000468D0" w:rsidRPr="00C30CCD" w:rsidRDefault="000468D0" w:rsidP="000468D0">
                            <w:pPr>
                              <w:tabs>
                                <w:tab w:val="left" w:pos="-720"/>
                              </w:tabs>
                              <w:ind w:right="-6490"/>
                              <w:rPr>
                                <w:rFonts w:ascii="Century Gothic" w:hAnsi="Century Gothic"/>
                                <w:color w:val="00556A"/>
                                <w:sz w:val="28"/>
                              </w:rPr>
                            </w:pPr>
                            <w:r w:rsidRPr="000F2BA4">
                              <w:rPr>
                                <w:rFonts w:ascii="Century Gothic" w:hAnsi="Century Gothic"/>
                                <w:color w:val="00556A"/>
                                <w:sz w:val="28"/>
                              </w:rPr>
                              <w:t xml:space="preserve">                                    IN THE BUSINESS OF NONPROFITS</w:t>
                            </w:r>
                            <w:r w:rsidR="00526672">
                              <w:rPr>
                                <w:rFonts w:ascii="Century Gothic" w:hAnsi="Century Gothic"/>
                                <w:color w:val="00556A"/>
                                <w:sz w:val="28"/>
                              </w:rPr>
                              <w:br/>
                            </w:r>
                            <w:proofErr w:type="gramStart"/>
                            <w:r w:rsidR="00526672" w:rsidRPr="00526672">
                              <w:rPr>
                                <w:rFonts w:ascii="Century Gothic" w:hAnsi="Century Gothic"/>
                                <w:color w:val="00556A"/>
                              </w:rPr>
                              <w:t>The</w:t>
                            </w:r>
                            <w:proofErr w:type="gramEnd"/>
                            <w:r w:rsidR="00526672" w:rsidRPr="00526672">
                              <w:rPr>
                                <w:rFonts w:ascii="Century Gothic" w:hAnsi="Century Gothic"/>
                                <w:color w:val="00556A"/>
                              </w:rPr>
                              <w:t xml:space="preserve"> Management Assessment Process:  A GPS for your Nonprofit Organization</w:t>
                            </w:r>
                          </w:p>
                          <w:p w:rsidR="00526672" w:rsidRDefault="00526672" w:rsidP="003847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EEC37" wp14:editId="12E8B5B4">
                                  <wp:extent cx="4943537" cy="301576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P GP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8758" cy="3025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78F7" w:rsidRDefault="002678F7"/>
                          <w:p w:rsidR="002678F7" w:rsidRDefault="002678F7">
                            <w:bookmarkStart w:id="0" w:name="_GoBack"/>
                            <w:bookmarkEnd w:id="0"/>
                          </w:p>
                          <w:p w:rsidR="00526672" w:rsidRDefault="00526672">
                            <w:r>
                              <w:t xml:space="preserve">The GPS has made travel simpler, more efficient and less frustrating.  The Nonprofit Center offers organizations a navigational system that pinpoints where your organization stands right now and recommends the best way to move forward.   It’s called MAP – the Management Assessment Process </w:t>
                            </w:r>
                            <w:r w:rsidR="00691E9E">
                              <w:t>–and its can serve as the foundation for changes, decisions and planning for your organization’s future.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</w:p>
                          <w:p w:rsidR="00526672" w:rsidRDefault="00526672">
                            <w:r>
                              <w:t xml:space="preserve">With MAP, </w:t>
                            </w:r>
                            <w:r w:rsidR="00691E9E">
                              <w:t xml:space="preserve">Nonprofit Center </w:t>
                            </w:r>
                            <w:r>
                              <w:t xml:space="preserve">experienced consultants conduct interviews and review all the key areas of your organization’s management, governance and operation.  They use the information they collect on </w:t>
                            </w:r>
                            <w:r w:rsidRPr="00896F73">
                              <w:t>programs, finances, human resources, funding, communications, and other key elements</w:t>
                            </w:r>
                            <w:r>
                              <w:t xml:space="preserve">, to </w:t>
                            </w:r>
                            <w:r w:rsidR="00691E9E">
                              <w:t>formulate an</w:t>
                            </w:r>
                            <w:r>
                              <w:t xml:space="preserve"> accurate, quantifiable report card, resulting in </w:t>
                            </w:r>
                            <w:r w:rsidR="00691E9E">
                              <w:t>a roadmap</w:t>
                            </w:r>
                            <w:r>
                              <w:t xml:space="preserve"> that details what it will take to overcome obstacles and challenges to move your organization toward achieving its goals.  </w:t>
                            </w:r>
                            <w:r>
                              <w:br/>
                              <w:t xml:space="preserve"> </w:t>
                            </w:r>
                          </w:p>
                          <w:p w:rsidR="00526672" w:rsidRDefault="00526672" w:rsidP="002A5841">
                            <w:r>
                              <w:t xml:space="preserve">If your organization is wrestling with issues related to performance, operations and systems and hasn’t </w:t>
                            </w:r>
                            <w:r w:rsidR="00235A38">
                              <w:t xml:space="preserve">  </w:t>
                            </w:r>
                            <w:r>
                              <w:t>be</w:t>
                            </w:r>
                            <w:r w:rsidR="00235A38">
                              <w:t>en</w:t>
                            </w:r>
                            <w:r>
                              <w:t xml:space="preserve"> able to move beyond them, MAP is the ide</w:t>
                            </w:r>
                            <w:r w:rsidR="002678F7">
                              <w:t xml:space="preserve">al tool to inform and engage.  </w:t>
                            </w:r>
                            <w:r>
                              <w:t>Armed with a comprehensive plan based on solid data, with the support of a team of objective experts, your organization will have a clearer vision of where it is, where it wants to go, and how to get there.</w:t>
                            </w:r>
                          </w:p>
                          <w:p w:rsidR="00526672" w:rsidRDefault="00526672" w:rsidP="002A5841"/>
                          <w:p w:rsidR="00526672" w:rsidRPr="00AF1F6C" w:rsidRDefault="00526672" w:rsidP="00741202">
                            <w:pPr>
                              <w:jc w:val="center"/>
                              <w:rPr>
                                <w:rFonts w:eastAsiaTheme="majorEastAsia" w:cstheme="minorHAnsi"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 xml:space="preserve">Contact us for more information </w:t>
                            </w:r>
                            <w:r w:rsidR="00691E9E">
                              <w:rPr>
                                <w:b/>
                              </w:rPr>
                              <w:t>about The Mana</w:t>
                            </w:r>
                            <w:r w:rsidR="00BA1EF3">
                              <w:rPr>
                                <w:b/>
                              </w:rPr>
                              <w:t>gement Assessment Process call,</w:t>
                            </w:r>
                            <w:r>
                              <w:rPr>
                                <w:b/>
                              </w:rPr>
                              <w:t xml:space="preserve"> 215-951-1701.</w:t>
                            </w:r>
                            <w:r>
                              <w:tab/>
                            </w:r>
                          </w:p>
                          <w:p w:rsidR="000468D0" w:rsidRPr="000F2BA4" w:rsidRDefault="000468D0">
                            <w:pPr>
                              <w:rPr>
                                <w:rFonts w:ascii="Century Gothic" w:hAnsi="Century Gothic"/>
                                <w:color w:val="00556A"/>
                              </w:rPr>
                            </w:pPr>
                          </w:p>
                          <w:p w:rsidR="000468D0" w:rsidRPr="000F2BA4" w:rsidRDefault="000468D0">
                            <w:pPr>
                              <w:rPr>
                                <w:rFonts w:ascii="Century Gothic" w:hAnsi="Century Gothic"/>
                                <w:color w:val="00556A"/>
                              </w:rPr>
                            </w:pPr>
                          </w:p>
                          <w:p w:rsidR="000468D0" w:rsidRPr="000B6AC4" w:rsidRDefault="000468D0">
                            <w:pPr>
                              <w:rPr>
                                <w:rFonts w:ascii="Century Gothic" w:hAnsi="Century Gothic"/>
                                <w:color w:val="003645"/>
                              </w:rPr>
                            </w:pPr>
                          </w:p>
                          <w:p w:rsidR="000468D0" w:rsidRPr="000B6AC4" w:rsidRDefault="000468D0">
                            <w:pPr>
                              <w:rPr>
                                <w:rFonts w:ascii="Century Gothic" w:hAnsi="Century Gothic"/>
                                <w:color w:val="003645"/>
                              </w:rPr>
                            </w:pPr>
                          </w:p>
                          <w:p w:rsidR="000468D0" w:rsidRPr="000B6AC4" w:rsidRDefault="000468D0" w:rsidP="000468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40"/>
                              <w:jc w:val="center"/>
                              <w:rPr>
                                <w:rFonts w:ascii="Century Gothic" w:hAnsi="Century Gothic" w:cs="Georgia"/>
                                <w:b/>
                                <w:color w:val="000000"/>
                                <w:szCs w:val="40"/>
                              </w:rPr>
                            </w:pPr>
                          </w:p>
                          <w:p w:rsidR="000468D0" w:rsidRPr="00503138" w:rsidRDefault="000468D0" w:rsidP="000468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40"/>
                              <w:rPr>
                                <w:rFonts w:ascii="Century Gothic" w:hAnsi="Century Gothic" w:cs="Georgia"/>
                                <w:color w:val="000000"/>
                                <w:szCs w:val="40"/>
                                <w:lang w:bidi="en-US"/>
                              </w:rPr>
                            </w:pPr>
                          </w:p>
                          <w:p w:rsidR="000468D0" w:rsidRPr="00503138" w:rsidRDefault="000468D0" w:rsidP="000468D0">
                            <w:pPr>
                              <w:tabs>
                                <w:tab w:val="left" w:pos="-720"/>
                              </w:tabs>
                              <w:ind w:right="-649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274320" tIns="18288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05pt;margin-top:36.2pt;width:544.05pt;height:698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" strokecolor="#4b91a1" strokeweight="2.5pt">
                <v:textbox inset="21.6pt,14.4pt,21.6pt">
                  <w:txbxContent>
                    <w:p w:rsidR="000468D0" w:rsidRPr="000F2BA4" w:rsidRDefault="000468D0" w:rsidP="000468D0">
                      <w:pPr>
                        <w:tabs>
                          <w:tab w:val="left" w:pos="-720"/>
                        </w:tabs>
                        <w:ind w:right="-6490"/>
                        <w:rPr>
                          <w:rFonts w:ascii="Century Gothic" w:hAnsi="Century Gothic"/>
                          <w:color w:val="00556A"/>
                          <w:sz w:val="28"/>
                        </w:rPr>
                      </w:pPr>
                      <w:r w:rsidRPr="000F2BA4">
                        <w:rPr>
                          <w:rFonts w:ascii="Century Gothic" w:hAnsi="Century Gothic"/>
                          <w:color w:val="00556A"/>
                          <w:sz w:val="28"/>
                        </w:rPr>
                        <w:t xml:space="preserve">                                   </w:t>
                      </w:r>
                    </w:p>
                    <w:p w:rsidR="000468D0" w:rsidRPr="000F2BA4" w:rsidRDefault="000468D0" w:rsidP="000468D0">
                      <w:pPr>
                        <w:tabs>
                          <w:tab w:val="left" w:pos="-720"/>
                        </w:tabs>
                        <w:ind w:right="-6490"/>
                        <w:rPr>
                          <w:rFonts w:ascii="Century Gothic" w:hAnsi="Century Gothic"/>
                          <w:color w:val="00556A"/>
                          <w:sz w:val="28"/>
                        </w:rPr>
                      </w:pPr>
                    </w:p>
                    <w:p w:rsidR="000468D0" w:rsidRPr="000F2BA4" w:rsidRDefault="000468D0" w:rsidP="000468D0">
                      <w:pPr>
                        <w:tabs>
                          <w:tab w:val="left" w:pos="-720"/>
                        </w:tabs>
                        <w:ind w:right="-6490"/>
                        <w:rPr>
                          <w:rFonts w:ascii="Century Gothic" w:hAnsi="Century Gothic"/>
                          <w:color w:val="00556A"/>
                          <w:sz w:val="28"/>
                        </w:rPr>
                      </w:pPr>
                    </w:p>
                    <w:p w:rsidR="000468D0" w:rsidRPr="00C30CCD" w:rsidRDefault="000468D0" w:rsidP="000468D0">
                      <w:pPr>
                        <w:tabs>
                          <w:tab w:val="left" w:pos="-720"/>
                        </w:tabs>
                        <w:ind w:right="-6490"/>
                        <w:rPr>
                          <w:rFonts w:ascii="Century Gothic" w:hAnsi="Century Gothic"/>
                          <w:color w:val="00556A"/>
                          <w:sz w:val="28"/>
                        </w:rPr>
                      </w:pPr>
                      <w:r w:rsidRPr="000F2BA4">
                        <w:rPr>
                          <w:rFonts w:ascii="Century Gothic" w:hAnsi="Century Gothic"/>
                          <w:color w:val="00556A"/>
                          <w:sz w:val="28"/>
                        </w:rPr>
                        <w:t xml:space="preserve">                                    IN THE BUSINESS OF NONPROFITS</w:t>
                      </w:r>
                      <w:r w:rsidR="00526672">
                        <w:rPr>
                          <w:rFonts w:ascii="Century Gothic" w:hAnsi="Century Gothic"/>
                          <w:color w:val="00556A"/>
                          <w:sz w:val="28"/>
                        </w:rPr>
                        <w:br/>
                      </w:r>
                      <w:proofErr w:type="gramStart"/>
                      <w:r w:rsidR="00526672" w:rsidRPr="00526672">
                        <w:rPr>
                          <w:rFonts w:ascii="Century Gothic" w:hAnsi="Century Gothic"/>
                          <w:color w:val="00556A"/>
                        </w:rPr>
                        <w:t>The</w:t>
                      </w:r>
                      <w:proofErr w:type="gramEnd"/>
                      <w:r w:rsidR="00526672" w:rsidRPr="00526672">
                        <w:rPr>
                          <w:rFonts w:ascii="Century Gothic" w:hAnsi="Century Gothic"/>
                          <w:color w:val="00556A"/>
                        </w:rPr>
                        <w:t xml:space="preserve"> Management Assessment Process:  A GPS for your Nonprofit Organization</w:t>
                      </w:r>
                    </w:p>
                    <w:p w:rsidR="00526672" w:rsidRDefault="00526672" w:rsidP="003847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EEEC37" wp14:editId="12E8B5B4">
                            <wp:extent cx="4943537" cy="301576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P GP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8758" cy="3025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78F7" w:rsidRDefault="002678F7"/>
                    <w:p w:rsidR="002678F7" w:rsidRDefault="002678F7">
                      <w:bookmarkStart w:id="1" w:name="_GoBack"/>
                      <w:bookmarkEnd w:id="1"/>
                    </w:p>
                    <w:p w:rsidR="00526672" w:rsidRDefault="00526672">
                      <w:r>
                        <w:t xml:space="preserve">The GPS has made travel simpler, more efficient and less frustrating.  The Nonprofit Center offers organizations a navigational system that pinpoints where your organization stands right now and recommends the best way to move forward.   It’s called MAP – the Management Assessment Process </w:t>
                      </w:r>
                      <w:r w:rsidR="00691E9E">
                        <w:t>–and its can serve as the foundation for changes, decisions and planning for your organization’s future.</w:t>
                      </w:r>
                      <w:r>
                        <w:t xml:space="preserve"> </w:t>
                      </w:r>
                      <w:r>
                        <w:br/>
                      </w:r>
                    </w:p>
                    <w:p w:rsidR="00526672" w:rsidRDefault="00526672">
                      <w:r>
                        <w:t xml:space="preserve">With MAP, </w:t>
                      </w:r>
                      <w:r w:rsidR="00691E9E">
                        <w:t xml:space="preserve">Nonprofit Center </w:t>
                      </w:r>
                      <w:r>
                        <w:t xml:space="preserve">experienced consultants conduct interviews and review all the key areas of your organization’s management, governance and operation.  They use the information they collect on </w:t>
                      </w:r>
                      <w:r w:rsidRPr="00896F73">
                        <w:t>programs, finances, human resources, funding, communications, and other key elements</w:t>
                      </w:r>
                      <w:r>
                        <w:t xml:space="preserve">, to </w:t>
                      </w:r>
                      <w:r w:rsidR="00691E9E">
                        <w:t>formulate an</w:t>
                      </w:r>
                      <w:r>
                        <w:t xml:space="preserve"> accurate, quantifiable report card, resulting in </w:t>
                      </w:r>
                      <w:r w:rsidR="00691E9E">
                        <w:t>a roadmap</w:t>
                      </w:r>
                      <w:r>
                        <w:t xml:space="preserve"> that details what it will take to overcome obstacles and challenges to move your organization toward achieving its goals.  </w:t>
                      </w:r>
                      <w:r>
                        <w:br/>
                        <w:t xml:space="preserve"> </w:t>
                      </w:r>
                    </w:p>
                    <w:p w:rsidR="00526672" w:rsidRDefault="00526672" w:rsidP="002A5841">
                      <w:r>
                        <w:t xml:space="preserve">If your organization is wrestling with issues related to performance, operations and systems and hasn’t </w:t>
                      </w:r>
                      <w:r w:rsidR="00235A38">
                        <w:t xml:space="preserve">  </w:t>
                      </w:r>
                      <w:r>
                        <w:t>be</w:t>
                      </w:r>
                      <w:r w:rsidR="00235A38">
                        <w:t>en</w:t>
                      </w:r>
                      <w:r>
                        <w:t xml:space="preserve"> able to move beyond them, MAP is the ide</w:t>
                      </w:r>
                      <w:r w:rsidR="002678F7">
                        <w:t xml:space="preserve">al tool to inform and engage.  </w:t>
                      </w:r>
                      <w:r>
                        <w:t>Armed with a comprehensive plan based on solid data, with the support of a team of objective experts, your organization will have a clearer vision of where it is, where it wants to go, and how to get there.</w:t>
                      </w:r>
                    </w:p>
                    <w:p w:rsidR="00526672" w:rsidRDefault="00526672" w:rsidP="002A5841"/>
                    <w:p w:rsidR="00526672" w:rsidRPr="00AF1F6C" w:rsidRDefault="00526672" w:rsidP="00741202">
                      <w:pPr>
                        <w:jc w:val="center"/>
                        <w:rPr>
                          <w:rFonts w:eastAsiaTheme="majorEastAsia" w:cstheme="minorHAnsi"/>
                          <w:iCs/>
                        </w:rPr>
                      </w:pPr>
                      <w:r>
                        <w:rPr>
                          <w:b/>
                        </w:rPr>
                        <w:br/>
                        <w:t xml:space="preserve">Contact us for more information </w:t>
                      </w:r>
                      <w:r w:rsidR="00691E9E">
                        <w:rPr>
                          <w:b/>
                        </w:rPr>
                        <w:t>about The Mana</w:t>
                      </w:r>
                      <w:r w:rsidR="00BA1EF3">
                        <w:rPr>
                          <w:b/>
                        </w:rPr>
                        <w:t>gement Assessment Process call,</w:t>
                      </w:r>
                      <w:r>
                        <w:rPr>
                          <w:b/>
                        </w:rPr>
                        <w:t xml:space="preserve"> 215-951-1701.</w:t>
                      </w:r>
                      <w:r>
                        <w:tab/>
                      </w:r>
                    </w:p>
                    <w:p w:rsidR="000468D0" w:rsidRPr="000F2BA4" w:rsidRDefault="000468D0">
                      <w:pPr>
                        <w:rPr>
                          <w:rFonts w:ascii="Century Gothic" w:hAnsi="Century Gothic"/>
                          <w:color w:val="00556A"/>
                        </w:rPr>
                      </w:pPr>
                    </w:p>
                    <w:p w:rsidR="000468D0" w:rsidRPr="000F2BA4" w:rsidRDefault="000468D0">
                      <w:pPr>
                        <w:rPr>
                          <w:rFonts w:ascii="Century Gothic" w:hAnsi="Century Gothic"/>
                          <w:color w:val="00556A"/>
                        </w:rPr>
                      </w:pPr>
                    </w:p>
                    <w:p w:rsidR="000468D0" w:rsidRPr="000B6AC4" w:rsidRDefault="000468D0">
                      <w:pPr>
                        <w:rPr>
                          <w:rFonts w:ascii="Century Gothic" w:hAnsi="Century Gothic"/>
                          <w:color w:val="003645"/>
                        </w:rPr>
                      </w:pPr>
                    </w:p>
                    <w:p w:rsidR="000468D0" w:rsidRPr="000B6AC4" w:rsidRDefault="000468D0">
                      <w:pPr>
                        <w:rPr>
                          <w:rFonts w:ascii="Century Gothic" w:hAnsi="Century Gothic"/>
                          <w:color w:val="003645"/>
                        </w:rPr>
                      </w:pPr>
                    </w:p>
                    <w:p w:rsidR="000468D0" w:rsidRPr="000B6AC4" w:rsidRDefault="000468D0" w:rsidP="000468D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40"/>
                        <w:jc w:val="center"/>
                        <w:rPr>
                          <w:rFonts w:ascii="Century Gothic" w:hAnsi="Century Gothic" w:cs="Georgia"/>
                          <w:b/>
                          <w:color w:val="000000"/>
                          <w:szCs w:val="40"/>
                        </w:rPr>
                      </w:pPr>
                    </w:p>
                    <w:p w:rsidR="000468D0" w:rsidRPr="00503138" w:rsidRDefault="000468D0" w:rsidP="000468D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40"/>
                        <w:rPr>
                          <w:rFonts w:ascii="Century Gothic" w:hAnsi="Century Gothic" w:cs="Georgia"/>
                          <w:color w:val="000000"/>
                          <w:szCs w:val="40"/>
                          <w:lang w:bidi="en-US"/>
                        </w:rPr>
                      </w:pPr>
                    </w:p>
                    <w:p w:rsidR="000468D0" w:rsidRPr="00503138" w:rsidRDefault="000468D0" w:rsidP="000468D0">
                      <w:pPr>
                        <w:tabs>
                          <w:tab w:val="left" w:pos="-720"/>
                        </w:tabs>
                        <w:ind w:right="-649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0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231140</wp:posOffset>
                </wp:positionV>
                <wp:extent cx="7244080" cy="9258300"/>
                <wp:effectExtent l="3810" t="2540" r="63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080" cy="9258300"/>
                        </a:xfrm>
                        <a:prstGeom prst="rect">
                          <a:avLst/>
                        </a:prstGeom>
                        <a:solidFill>
                          <a:srgbClr val="4B9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D0" w:rsidRDefault="000468D0" w:rsidP="000468D0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2.05pt;margin-top:18.2pt;width:570.4pt;height:72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" fillcolor="#4b91a1" stroked="f">
                <v:textbox>
                  <w:txbxContent>
                    <w:p w:rsidR="000468D0" w:rsidRDefault="000468D0" w:rsidP="000468D0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  <w:r w:rsidR="003B090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9146540</wp:posOffset>
                </wp:positionV>
                <wp:extent cx="6286500" cy="495300"/>
                <wp:effectExtent l="3810" t="254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95300"/>
                        </a:xfrm>
                        <a:prstGeom prst="rect">
                          <a:avLst/>
                        </a:prstGeom>
                        <a:solidFill>
                          <a:srgbClr val="CDE4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4B91A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D0" w:rsidRPr="003024BE" w:rsidRDefault="000468D0" w:rsidP="00046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3024BE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The Nonprofit Center at La Salle University School of Business</w:t>
                            </w:r>
                          </w:p>
                          <w:p w:rsidR="000468D0" w:rsidRPr="003024BE" w:rsidRDefault="000468D0" w:rsidP="00046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3024BE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 xml:space="preserve">1900 West Olney Ave., </w:t>
                            </w:r>
                            <w:proofErr w:type="spellStart"/>
                            <w:r w:rsidRPr="003024BE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Phila</w:t>
                            </w:r>
                            <w:proofErr w:type="spellEnd"/>
                            <w:r w:rsidRPr="003024BE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., PA  19141 • 215.951.1701 • www.lasallenonprofitcenter.org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58.05pt;margin-top:720.2pt;width:495pt;height:3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" fillcolor="#cde4e8" stroked="f" strokecolor="#4b91a1" strokeweight=".5pt">
                <v:textbox>
                  <w:txbxContent>
                    <w:p w:rsidR="000468D0" w:rsidRPr="003024BE" w:rsidRDefault="000468D0" w:rsidP="000468D0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 w:rsidRPr="003024BE">
                        <w:rPr>
                          <w:rFonts w:ascii="Century Gothic" w:hAnsi="Century Gothic"/>
                          <w:b/>
                          <w:sz w:val="22"/>
                        </w:rPr>
                        <w:t>The Nonprofit Center at La Salle University School of Business</w:t>
                      </w:r>
                    </w:p>
                    <w:p w:rsidR="000468D0" w:rsidRPr="003024BE" w:rsidRDefault="000468D0" w:rsidP="000468D0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 w:rsidRPr="003024BE">
                        <w:rPr>
                          <w:rFonts w:ascii="Century Gothic" w:hAnsi="Century Gothic"/>
                          <w:b/>
                          <w:sz w:val="22"/>
                        </w:rPr>
                        <w:t xml:space="preserve">1900 West Olney Ave., </w:t>
                      </w:r>
                      <w:proofErr w:type="spellStart"/>
                      <w:r w:rsidRPr="003024BE">
                        <w:rPr>
                          <w:rFonts w:ascii="Century Gothic" w:hAnsi="Century Gothic"/>
                          <w:b/>
                          <w:sz w:val="22"/>
                        </w:rPr>
                        <w:t>Phila</w:t>
                      </w:r>
                      <w:proofErr w:type="spellEnd"/>
                      <w:r w:rsidRPr="003024BE">
                        <w:rPr>
                          <w:rFonts w:ascii="Century Gothic" w:hAnsi="Century Gothic"/>
                          <w:b/>
                          <w:sz w:val="22"/>
                        </w:rPr>
                        <w:t>., PA  19141 • 215.951.1701 • www.lasallenonprofitcenter.org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68D0" w:rsidSect="000468D0">
      <w:pgSz w:w="12240" w:h="15840"/>
      <w:pgMar w:top="0" w:right="18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57"/>
    <w:rsid w:val="000468D0"/>
    <w:rsid w:val="001C3E8A"/>
    <w:rsid w:val="00235A38"/>
    <w:rsid w:val="002678F7"/>
    <w:rsid w:val="00314694"/>
    <w:rsid w:val="003B0902"/>
    <w:rsid w:val="003D4DF2"/>
    <w:rsid w:val="00422205"/>
    <w:rsid w:val="00526672"/>
    <w:rsid w:val="006713FA"/>
    <w:rsid w:val="00691E9E"/>
    <w:rsid w:val="00791EB2"/>
    <w:rsid w:val="00954C27"/>
    <w:rsid w:val="00AD3057"/>
    <w:rsid w:val="00BA1EF3"/>
    <w:rsid w:val="00E442EB"/>
    <w:rsid w:val="00E53CA8"/>
    <w:rsid w:val="00E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556a,#4b91a1"/>
    </o:shapedefaults>
    <o:shapelayout v:ext="edit">
      <o:idmap v:ext="edit" data="1"/>
    </o:shapelayout>
  </w:shapeDefaults>
  <w:doNotEmbedSmartTags/>
  <w:decimalSymbol w:val="."/>
  <w:listSeparator w:val=","/>
  <w14:docId w14:val="6C4B83D7"/>
  <w15:docId w15:val="{1A42DCF5-CA0F-4EE1-B9D1-C3FE2105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D18D-3AAC-4284-8AFD-F4E582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4</CharactersWithSpaces>
  <SharedDoc>false</SharedDoc>
  <HLinks>
    <vt:vector size="6" baseType="variant">
      <vt:variant>
        <vt:i4>5505139</vt:i4>
      </vt:variant>
      <vt:variant>
        <vt:i4>10306</vt:i4>
      </vt:variant>
      <vt:variant>
        <vt:i4>1030</vt:i4>
      </vt:variant>
      <vt:variant>
        <vt:i4>1</vt:i4>
      </vt:variant>
      <vt:variant>
        <vt:lpwstr>header8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Joan Ulmer</cp:lastModifiedBy>
  <cp:revision>2</cp:revision>
  <cp:lastPrinted>2019-12-17T17:48:00Z</cp:lastPrinted>
  <dcterms:created xsi:type="dcterms:W3CDTF">2019-12-17T17:49:00Z</dcterms:created>
  <dcterms:modified xsi:type="dcterms:W3CDTF">2019-12-17T17:49:00Z</dcterms:modified>
</cp:coreProperties>
</file>